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6E" w:rsidRDefault="00F70C6E">
      <w:pPr>
        <w:pStyle w:val="20"/>
      </w:pPr>
    </w:p>
    <w:p w:rsidR="00EB57B9" w:rsidRDefault="00EB57B9">
      <w:pPr>
        <w:pStyle w:val="20"/>
      </w:pPr>
    </w:p>
    <w:p w:rsidR="00777F70" w:rsidRPr="00777F70" w:rsidRDefault="00777F70" w:rsidP="00777F70">
      <w:pPr>
        <w:widowControl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77F70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Вопросы  на  </w:t>
      </w:r>
      <w:r w:rsidR="007D2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вторую</w:t>
      </w:r>
      <w:r w:rsidRPr="00777F70">
        <w:rPr>
          <w:rFonts w:ascii="Times New Roman" w:eastAsia="Times New Roman" w:hAnsi="Times New Roman" w:cs="Times New Roman"/>
          <w:sz w:val="30"/>
          <w:szCs w:val="30"/>
          <w:lang w:bidi="ar-SA"/>
        </w:rPr>
        <w:t>  квалификационную  категорию</w:t>
      </w:r>
    </w:p>
    <w:p w:rsidR="00F70C6E" w:rsidRDefault="00777F70" w:rsidP="00777F70">
      <w:pPr>
        <w:pStyle w:val="1"/>
        <w:spacing w:after="320"/>
        <w:ind w:firstLine="0"/>
        <w:jc w:val="center"/>
      </w:pPr>
      <w:r w:rsidRPr="009B046A">
        <w:rPr>
          <w:color w:val="000000"/>
          <w:sz w:val="30"/>
          <w:szCs w:val="30"/>
          <w:lang w:bidi="ar-SA"/>
        </w:rPr>
        <w:t xml:space="preserve">по квалификации  </w:t>
      </w:r>
      <w:r w:rsidR="008541FF">
        <w:rPr>
          <w:b/>
          <w:bCs/>
        </w:rPr>
        <w:t>«Помощник врача по амбулаторно-поликлинической помощи»</w:t>
      </w:r>
      <w:r w:rsidR="003B2960">
        <w:rPr>
          <w:b/>
          <w:bCs/>
        </w:rPr>
        <w:t xml:space="preserve">, </w:t>
      </w:r>
      <w:r w:rsidR="008541FF">
        <w:rPr>
          <w:b/>
          <w:bCs/>
        </w:rPr>
        <w:br/>
      </w:r>
      <w:r w:rsidR="00F068A4">
        <w:rPr>
          <w:i/>
          <w:iCs/>
        </w:rPr>
        <w:t xml:space="preserve"> </w:t>
      </w:r>
    </w:p>
    <w:p w:rsidR="00F70C6E" w:rsidRDefault="008541FF">
      <w:pPr>
        <w:pStyle w:val="1"/>
        <w:spacing w:line="257" w:lineRule="auto"/>
        <w:ind w:firstLine="0"/>
      </w:pPr>
      <w:r>
        <w:rPr>
          <w:b/>
          <w:bCs/>
        </w:rPr>
        <w:t>Вопросы по квалификации</w:t>
      </w:r>
    </w:p>
    <w:p w:rsidR="00F70C6E" w:rsidRDefault="008541FF">
      <w:pPr>
        <w:pStyle w:val="1"/>
        <w:spacing w:line="257" w:lineRule="auto"/>
        <w:ind w:firstLine="700"/>
        <w:jc w:val="both"/>
      </w:pPr>
      <w:r>
        <w:rPr>
          <w:b/>
          <w:bCs/>
        </w:rPr>
        <w:t>Акушерство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06"/>
        </w:tabs>
        <w:spacing w:line="257" w:lineRule="auto"/>
        <w:ind w:firstLine="740"/>
        <w:jc w:val="both"/>
      </w:pPr>
      <w:bookmarkStart w:id="0" w:name="bookmark0"/>
      <w:bookmarkStart w:id="1" w:name="bookmark1"/>
      <w:bookmarkEnd w:id="0"/>
      <w:bookmarkEnd w:id="1"/>
      <w:r>
        <w:t>Методика обследования беременных. Акушерская документация.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2" w:name="bookmark2"/>
      <w:bookmarkEnd w:id="2"/>
      <w:r>
        <w:t>Консультирование беременных по вопросам гигиены, питания, режима дня, профилактики простудных заболеваний.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62"/>
        </w:tabs>
        <w:spacing w:line="257" w:lineRule="auto"/>
        <w:ind w:firstLine="740"/>
        <w:jc w:val="both"/>
      </w:pPr>
      <w:bookmarkStart w:id="3" w:name="bookmark3"/>
      <w:bookmarkEnd w:id="3"/>
      <w:r>
        <w:t>Сбор общего анамнеза, акушерско-гинекологического анамнеза, сведений о течении беременности, выявление факторов перинатального риска на догоспитальном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4" w:name="bookmark4"/>
      <w:bookmarkEnd w:id="4"/>
      <w:r>
        <w:t>Готовность организма к родам: причины наступления родов и оценка готовности к родам. Предвестники родов. Прелиминарный период.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5" w:name="bookmark5"/>
      <w:bookmarkEnd w:id="5"/>
      <w:r>
        <w:t>Патологическое течение послеродового периода. Основные проблемы родильницы.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6" w:name="bookmark6"/>
      <w:bookmarkEnd w:id="6"/>
      <w:r>
        <w:t>Консультирование родильниц по вопросам гигиены, грудного вскармливания, диеты, контрацепции.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81"/>
        </w:tabs>
        <w:spacing w:line="257" w:lineRule="auto"/>
        <w:ind w:firstLine="740"/>
        <w:jc w:val="both"/>
      </w:pPr>
      <w:bookmarkStart w:id="7" w:name="bookmark7"/>
      <w:bookmarkEnd w:id="7"/>
      <w:r>
        <w:t>Гестозы первой половины беременности. Рвота беременных: клиническая картина, диагностика и дифференциальная диагностика.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076"/>
        </w:tabs>
        <w:spacing w:line="257" w:lineRule="auto"/>
        <w:ind w:firstLine="740"/>
        <w:jc w:val="both"/>
      </w:pPr>
      <w:bookmarkStart w:id="8" w:name="bookmark8"/>
      <w:bookmarkEnd w:id="8"/>
      <w:r>
        <w:t>Роль фельдшера в своевременной диагностике преэклампсии и лечебно-тактические мероприятия при отеках, протеинурии и артериальной гипертензии, связанных с беременностью.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5"/>
        </w:tabs>
        <w:spacing w:line="257" w:lineRule="auto"/>
        <w:ind w:firstLine="740"/>
        <w:jc w:val="both"/>
      </w:pPr>
      <w:bookmarkStart w:id="9" w:name="bookmark9"/>
      <w:bookmarkEnd w:id="9"/>
      <w:r>
        <w:t>Кровотечения в первой половине беременности. Дифференциальная диагностика с острой гинекологической и хирургической патологией. Лечебно-тактические мероприятия фельдшера на догоспитальном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5"/>
        </w:tabs>
        <w:spacing w:line="257" w:lineRule="auto"/>
        <w:ind w:firstLine="740"/>
        <w:jc w:val="both"/>
      </w:pPr>
      <w:bookmarkStart w:id="10" w:name="bookmark10"/>
      <w:bookmarkEnd w:id="10"/>
      <w:r>
        <w:t>Кровотечения в родах. Причины кровотечений в первом и втором периодах родов. Дифференциальная диагностика. Тактика на догоспитальном этапе.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20"/>
        </w:tabs>
        <w:spacing w:line="257" w:lineRule="auto"/>
        <w:ind w:firstLine="740"/>
        <w:jc w:val="both"/>
      </w:pPr>
      <w:bookmarkStart w:id="11" w:name="bookmark11"/>
      <w:bookmarkEnd w:id="11"/>
      <w:r>
        <w:t>Преждевременные роды. Диагностика клинических стадий преждевременных родов. Тактика и неотложные медицинские мероприятия на догоспитальном этапе.</w:t>
      </w:r>
    </w:p>
    <w:p w:rsidR="00F70C6E" w:rsidRDefault="008541FF">
      <w:pPr>
        <w:pStyle w:val="1"/>
        <w:ind w:firstLine="700"/>
        <w:jc w:val="both"/>
      </w:pPr>
      <w:r>
        <w:rPr>
          <w:b/>
          <w:bCs/>
        </w:rPr>
        <w:t>Педиатрия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2" w:name="bookmark12"/>
      <w:bookmarkEnd w:id="12"/>
      <w:r>
        <w:t>Локализованные гнойно-воспалительные заболевания: омфалит, мастит, конъюнктивит: причины, клиническая картина. Принципы лечения и профилактики.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13" w:name="bookmark13"/>
      <w:bookmarkStart w:id="14" w:name="bookmark14"/>
      <w:bookmarkEnd w:id="13"/>
      <w:bookmarkEnd w:id="14"/>
      <w:r>
        <w:t>Бронхиты у детей. Этиология. Клиническая картина. Возможные осложнения. Принципы диагностики.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5" w:name="bookmark15"/>
      <w:bookmarkEnd w:id="15"/>
      <w:r>
        <w:t>Особенности пиелонефрита у детей. Этиология. Клинические проявления. Принципы диагностики и лечения.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16" w:name="bookmark16"/>
      <w:bookmarkStart w:id="17" w:name="bookmark18"/>
      <w:bookmarkEnd w:id="16"/>
      <w:bookmarkEnd w:id="17"/>
      <w:r>
        <w:t>Острые респираторные заболевания у детей. Этиология. Эпидемиология. Клинические проявления гриппа, парагриппа, аденовирусной инфекции, респираторно-синтициальной инфекции.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18" w:name="bookmark19"/>
      <w:bookmarkEnd w:id="18"/>
      <w:r>
        <w:t xml:space="preserve">Ротавирусная инфекция. Этиология. Эпидемиология. Клиника. Принципы </w:t>
      </w:r>
      <w:r>
        <w:lastRenderedPageBreak/>
        <w:t>диагностики и лечения. Профилактика.</w:t>
      </w:r>
    </w:p>
    <w:p w:rsidR="00F70C6E" w:rsidRDefault="008541FF">
      <w:pPr>
        <w:pStyle w:val="1"/>
        <w:ind w:firstLine="740"/>
        <w:jc w:val="both"/>
      </w:pPr>
      <w:r>
        <w:rPr>
          <w:b/>
          <w:bCs/>
        </w:rPr>
        <w:t>Инфекционные болезни с эпидемиологией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2"/>
        </w:tabs>
        <w:ind w:firstLine="740"/>
        <w:jc w:val="both"/>
      </w:pPr>
      <w:bookmarkStart w:id="19" w:name="bookmark20"/>
      <w:bookmarkEnd w:id="19"/>
      <w:r>
        <w:t>Определение понятия инфекционный процесс, факторы инфекционного процесса.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41"/>
        </w:tabs>
        <w:ind w:firstLine="740"/>
        <w:jc w:val="both"/>
      </w:pPr>
      <w:bookmarkStart w:id="20" w:name="bookmark21"/>
      <w:bookmarkEnd w:id="20"/>
      <w:r>
        <w:t>Принципы лечения инфекционных заболеваний.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41"/>
        </w:tabs>
        <w:ind w:firstLine="740"/>
        <w:jc w:val="both"/>
      </w:pPr>
      <w:bookmarkStart w:id="21" w:name="bookmark22"/>
      <w:bookmarkEnd w:id="21"/>
      <w:r>
        <w:t>Определение иммунитета, виды иммунитета и их характеристика.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2" w:name="bookmark23"/>
      <w:bookmarkEnd w:id="22"/>
      <w:r>
        <w:t>Инфекционный процесс при сальмонеллезе: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7"/>
        </w:tabs>
        <w:ind w:firstLine="740"/>
        <w:jc w:val="both"/>
      </w:pPr>
      <w:bookmarkStart w:id="23" w:name="bookmark24"/>
      <w:bookmarkEnd w:id="23"/>
      <w:r>
        <w:t>Инфекционный процесс при пищевых токсикоинфекциях и ботулизме: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7"/>
        </w:tabs>
        <w:ind w:firstLine="740"/>
        <w:jc w:val="both"/>
      </w:pPr>
      <w:bookmarkStart w:id="24" w:name="bookmark25"/>
      <w:bookmarkEnd w:id="24"/>
      <w:r>
        <w:t>Инфекционный процесс при гриппе: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5" w:name="bookmark26"/>
      <w:bookmarkEnd w:id="25"/>
      <w:r>
        <w:t>Инфекционный процесс при вирусных гепатитах А и Е: возбудители, источники, механизмы и пути передачи, восприимчивость населения, клинические формы, диагностика, принципы лечения и профилактики.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12"/>
        </w:tabs>
        <w:ind w:firstLine="740"/>
        <w:jc w:val="both"/>
      </w:pPr>
      <w:bookmarkStart w:id="26" w:name="bookmark27"/>
      <w:bookmarkEnd w:id="26"/>
      <w:r>
        <w:t>Инфекционный процесс при вирусных гепатитах В, С, Д: возбудители, источники, механизмы и пути передачи, восприимчивость населения, клинические формы, диагностика, принципы лечения и профилактики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27" w:name="bookmark28"/>
      <w:bookmarkStart w:id="28" w:name="bookmark29"/>
      <w:bookmarkEnd w:id="27"/>
      <w:bookmarkEnd w:id="28"/>
      <w:r>
        <w:t>Инфекционный процесс при столбняке: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29" w:name="bookmark30"/>
      <w:bookmarkEnd w:id="29"/>
      <w:r>
        <w:t>Инфекционный процесс при бешенстве: возбудители, источники, механизмы и пути передачи, клинические формы, принципы диагностики и лечения, профилактика.</w:t>
      </w:r>
    </w:p>
    <w:p w:rsidR="00F70C6E" w:rsidRDefault="008541FF">
      <w:pPr>
        <w:pStyle w:val="1"/>
        <w:spacing w:line="262" w:lineRule="auto"/>
        <w:ind w:firstLine="760"/>
        <w:jc w:val="both"/>
      </w:pPr>
      <w:r>
        <w:rPr>
          <w:b/>
          <w:bCs/>
        </w:rPr>
        <w:t>Терапия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0" w:name="bookmark31"/>
      <w:bookmarkEnd w:id="30"/>
      <w:r>
        <w:t>Бронхиты острый и хронический. Этиология. Клиническая картина. Диагностика и дифференциальная диагностика.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1" w:name="bookmark32"/>
      <w:bookmarkEnd w:id="31"/>
      <w:r>
        <w:t>Пневмонии. Этиология. Классификация. Клиническая картина. Диагностика и дифференциальная диагностика. Осложнения.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2" w:name="bookmark33"/>
      <w:bookmarkEnd w:id="32"/>
      <w:r>
        <w:t>Бронхиальная астма. Классификация. Клиническая картина приступа бронхиальной астмы. Диагностика и дифференциальная диагностика.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3" w:name="bookmark34"/>
      <w:bookmarkEnd w:id="33"/>
      <w:r>
        <w:t>Стенокардия как форма ишемической болезни сердца. Классификация стенокардии. Клиническая картина. Диагностика. Неотложная помощь и тактика при приступе стенокардии.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4" w:name="bookmark35"/>
      <w:bookmarkEnd w:id="34"/>
      <w:r>
        <w:t>Инфаркт миокарда. Классификация. Клиническая картина. Особенности течения у лиц пожилого возраста. Осложнения. Диагностика. Дифференциальный диагноз. Неотложная помощь и тактика фельдшера. Лечение.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5" w:name="bookmark36"/>
      <w:bookmarkEnd w:id="35"/>
      <w:r>
        <w:t>Артериальная гипертензия. Классификация. Клиническая картина. Диагностика. Лечение. Особенности течения артериальной гипертензии у беременных и у лиц пожилого возраста.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6" w:name="bookmark37"/>
      <w:bookmarkEnd w:id="36"/>
      <w:r>
        <w:t xml:space="preserve">Язва желудка и 12-перстной кишки. Этиология. Клиническая картина. </w:t>
      </w:r>
      <w:r>
        <w:lastRenderedPageBreak/>
        <w:t>Диагностика. Дифференциальный диагноз. Осложнения.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200"/>
        </w:tabs>
        <w:spacing w:line="262" w:lineRule="auto"/>
        <w:ind w:firstLine="760"/>
        <w:jc w:val="both"/>
      </w:pPr>
      <w:bookmarkStart w:id="37" w:name="bookmark38"/>
      <w:bookmarkEnd w:id="37"/>
      <w:r>
        <w:t>Рак желудка. Классификация. Клиническая картина, синдром «малых признаков». Диагностика. Дифференциальный диагноз. Принципы лечения. Деонтология.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38" w:name="bookmark39"/>
      <w:bookmarkEnd w:id="38"/>
      <w:r>
        <w:t>Циррозы печени. Этиология. Клиническая картина. Диагностика. Дифференциальный диагноз. Осложнения.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39" w:name="bookmark40"/>
      <w:bookmarkEnd w:id="39"/>
      <w:r>
        <w:t>Холецистит хронический. Этиология. Классификация.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0" w:name="bookmark41"/>
      <w:bookmarkEnd w:id="40"/>
      <w:r>
        <w:t>Хронический панкреатит. Этиология. Классификация.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1" w:name="bookmark42"/>
      <w:bookmarkEnd w:id="41"/>
      <w:r>
        <w:t>Острый пиелонефрит. Этиология. Клиническая картина. Диагностика. Дифференциальный диагноз. Лечение. Профилактика.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60"/>
        <w:jc w:val="both"/>
      </w:pPr>
      <w:bookmarkStart w:id="42" w:name="bookmark43"/>
      <w:bookmarkEnd w:id="42"/>
      <w:r>
        <w:t>Сахарный диабет. Определение. Классификация. Клиническая картина. Течение и осложнения. Диагностика. Лечение.</w:t>
      </w:r>
    </w:p>
    <w:p w:rsidR="00F70C6E" w:rsidRDefault="008541FF">
      <w:pPr>
        <w:pStyle w:val="1"/>
        <w:spacing w:line="262" w:lineRule="auto"/>
        <w:ind w:firstLine="700"/>
        <w:jc w:val="both"/>
      </w:pPr>
      <w:r>
        <w:rPr>
          <w:b/>
          <w:bCs/>
        </w:rPr>
        <w:t>Хирургия</w:t>
      </w:r>
    </w:p>
    <w:p w:rsidR="00F70C6E" w:rsidRDefault="008541FF">
      <w:pPr>
        <w:pStyle w:val="1"/>
        <w:numPr>
          <w:ilvl w:val="0"/>
          <w:numId w:val="1"/>
        </w:numPr>
        <w:tabs>
          <w:tab w:val="left" w:pos="1191"/>
        </w:tabs>
        <w:spacing w:line="262" w:lineRule="auto"/>
        <w:ind w:firstLine="760"/>
        <w:jc w:val="both"/>
      </w:pPr>
      <w:bookmarkStart w:id="43" w:name="bookmark44"/>
      <w:bookmarkEnd w:id="43"/>
      <w:r>
        <w:t>Понятие «кровотечение». Классификация. Общие и местные признаки кровотечений. Методы временной и окончательной остановки кровотечений.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44" w:name="bookmark72"/>
      <w:bookmarkEnd w:id="44"/>
      <w:r>
        <w:t>Группы крови и резус-фактор. Гемотрансфузия: виды, цель, показания. Осложнения и реакции при гемотрансфузии и помощь при них.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45" w:name="bookmark73"/>
      <w:bookmarkStart w:id="46" w:name="bookmark74"/>
      <w:bookmarkEnd w:id="45"/>
      <w:bookmarkEnd w:id="46"/>
      <w:r>
        <w:t>Местная анестезия. Виды и средства для местной анестезии.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47" w:name="bookmark75"/>
      <w:bookmarkEnd w:id="47"/>
      <w:r>
        <w:t>Раны: классификация, признаки. Лечение чистых и гнойных ран.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2"/>
        </w:tabs>
        <w:spacing w:line="240" w:lineRule="auto"/>
        <w:ind w:firstLine="800"/>
        <w:jc w:val="both"/>
      </w:pPr>
      <w:bookmarkStart w:id="48" w:name="bookmark76"/>
      <w:bookmarkEnd w:id="48"/>
      <w:r>
        <w:t>Переломы костей конечностей. Абсолютные и относительные признаки. Диагностика.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49" w:name="bookmark77"/>
      <w:bookmarkEnd w:id="49"/>
      <w:r>
        <w:t>Ожоги. Классификация. Определение степени и площади ожогов.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0" w:name="bookmark78"/>
      <w:bookmarkEnd w:id="50"/>
      <w:r>
        <w:t>Виды холодовой травмы. Понятие «отморожение», степени. Лечение.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1" w:name="bookmark79"/>
      <w:bookmarkEnd w:id="51"/>
      <w:r>
        <w:t>Хирургическая инфекция. Классификация. Общие и местные признаки. Принципы лечения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2" w:name="bookmark80"/>
      <w:bookmarkEnd w:id="52"/>
      <w:r>
        <w:t>Опухоли. Дифференциальная диагностика доброкачественных и злокачественных опухолей. Диагностика злокачественных опухолей. Профилактика онкологических заболеваний.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3" w:name="bookmark81"/>
      <w:bookmarkEnd w:id="53"/>
      <w:r>
        <w:t>Черепно-мозговая травма. Сотрясение, ушиб и сдавление головного мозга. Клиника. Диагностика.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37"/>
        </w:tabs>
        <w:spacing w:line="240" w:lineRule="auto"/>
        <w:ind w:firstLine="800"/>
        <w:jc w:val="both"/>
      </w:pPr>
      <w:bookmarkStart w:id="54" w:name="bookmark82"/>
      <w:bookmarkEnd w:id="54"/>
      <w:r>
        <w:t>Закрытые и открытые повреждения грудой клетки. Пневмоторакс: виды, клиника, диагностика.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55" w:name="bookmark83"/>
      <w:bookmarkEnd w:id="55"/>
      <w:r>
        <w:t>Травмы живота. Классификация, клиника, диагностика,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56" w:name="bookmark84"/>
      <w:bookmarkEnd w:id="56"/>
      <w:r>
        <w:t>Острый аппендицит. Клиника, диагностика, лечение. Особенности течения у детей, пожилых людей, беременных.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57" w:name="bookmark85"/>
      <w:bookmarkEnd w:id="57"/>
      <w:r>
        <w:t>Острый холецистит. Клиника, диагностика, принципы лечения.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58" w:name="bookmark86"/>
      <w:bookmarkEnd w:id="58"/>
      <w:r>
        <w:t>Острый панкреатит. Клиника, диагностика, лечение.</w:t>
      </w:r>
    </w:p>
    <w:p w:rsidR="00F068A4" w:rsidRDefault="00F068A4" w:rsidP="00F068A4">
      <w:pPr>
        <w:pStyle w:val="1"/>
        <w:numPr>
          <w:ilvl w:val="0"/>
          <w:numId w:val="1"/>
        </w:numPr>
        <w:tabs>
          <w:tab w:val="left" w:pos="1246"/>
        </w:tabs>
        <w:spacing w:line="240" w:lineRule="auto"/>
        <w:ind w:firstLine="800"/>
        <w:jc w:val="both"/>
      </w:pPr>
      <w:bookmarkStart w:id="59" w:name="bookmark87"/>
      <w:bookmarkEnd w:id="59"/>
      <w:r>
        <w:t>Грыжи живота. Клиника и диагностика ущемлённой грыжи. Принципы лечения.</w:t>
      </w:r>
    </w:p>
    <w:p w:rsidR="00683DD7" w:rsidRDefault="00683DD7" w:rsidP="00F068A4">
      <w:pPr>
        <w:pStyle w:val="1"/>
        <w:tabs>
          <w:tab w:val="left" w:pos="1232"/>
        </w:tabs>
        <w:spacing w:line="240" w:lineRule="auto"/>
        <w:ind w:left="760" w:firstLine="0"/>
        <w:jc w:val="both"/>
      </w:pPr>
      <w:bookmarkStart w:id="60" w:name="bookmark88"/>
      <w:bookmarkEnd w:id="60"/>
    </w:p>
    <w:p w:rsidR="00F068A4" w:rsidRDefault="00F068A4" w:rsidP="00F068A4">
      <w:pPr>
        <w:pStyle w:val="1"/>
        <w:tabs>
          <w:tab w:val="left" w:pos="1232"/>
        </w:tabs>
        <w:spacing w:line="240" w:lineRule="auto"/>
        <w:ind w:left="760" w:firstLine="0"/>
        <w:jc w:val="both"/>
      </w:pPr>
      <w:r w:rsidRPr="00F068A4">
        <w:rPr>
          <w:b/>
          <w:bCs/>
        </w:rPr>
        <w:t>Вопросы по общественному здоровью и (или) организации здравоохранения</w:t>
      </w:r>
    </w:p>
    <w:p w:rsidR="00F068A4" w:rsidRDefault="00F068A4" w:rsidP="00F068A4">
      <w:pPr>
        <w:pStyle w:val="1"/>
        <w:tabs>
          <w:tab w:val="left" w:pos="1191"/>
        </w:tabs>
        <w:spacing w:line="262" w:lineRule="auto"/>
        <w:jc w:val="both"/>
      </w:pP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0A5D75">
        <w:lastRenderedPageBreak/>
        <w:t>Законодательные основы здравоохранения Республики Беларусь.</w:t>
      </w:r>
      <w:bookmarkStart w:id="61" w:name="bookmark95"/>
      <w:bookmarkEnd w:id="61"/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2" w:name="bookmark96"/>
      <w:bookmarkEnd w:id="62"/>
      <w:r w:rsidRPr="000A5D75">
        <w:t>Здоровье населения и методы его изучения.</w:t>
      </w: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3" w:name="bookmark97"/>
      <w:bookmarkEnd w:id="63"/>
      <w:r w:rsidRPr="000A5D75">
        <w:t>Основные принципы государственной политики Республики Беларусь в области здравоохранения.</w:t>
      </w: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4" w:name="bookmark98"/>
      <w:bookmarkEnd w:id="64"/>
      <w:r w:rsidRPr="000A5D75"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5" w:name="bookmark99"/>
      <w:bookmarkStart w:id="66" w:name="bookmark100"/>
      <w:bookmarkEnd w:id="65"/>
      <w:bookmarkEnd w:id="66"/>
      <w:r w:rsidRPr="000A5D75">
        <w:t>Структура здравоохранения Республики Беларусь. Система управления здравоохранением Республики Беларусь.</w:t>
      </w: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7" w:name="bookmark101"/>
      <w:bookmarkEnd w:id="67"/>
      <w:r w:rsidRPr="000A5D75">
        <w:t>Финансирование здравоохранения Республики Беларусь.</w:t>
      </w:r>
    </w:p>
    <w:p w:rsidR="00F068A4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8" w:name="bookmark102"/>
      <w:bookmarkEnd w:id="68"/>
      <w:r w:rsidRPr="000A5D75">
        <w:t>Качество медицинской помощи, его оценка и экспертиза.</w:t>
      </w:r>
    </w:p>
    <w:p w:rsidR="00E7705A" w:rsidRPr="000A5D75" w:rsidRDefault="00F068A4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69" w:name="bookmark103"/>
      <w:bookmarkEnd w:id="69"/>
      <w:r w:rsidRPr="000A5D75">
        <w:t>Организация оказания первичной медицинской помощи населению. Команда врача общей практики.</w:t>
      </w:r>
    </w:p>
    <w:p w:rsidR="00F70C6E" w:rsidRPr="00E7705A" w:rsidRDefault="008541FF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70" w:name="bookmark45"/>
      <w:bookmarkEnd w:id="70"/>
      <w:r w:rsidRPr="00E7705A">
        <w:t>Организация оказания медицинской помощи населению в амбулаторных условиях. Заботливая поликлиника.</w:t>
      </w:r>
    </w:p>
    <w:p w:rsidR="00F70C6E" w:rsidRDefault="008541FF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bookmarkStart w:id="71" w:name="bookmark46"/>
      <w:bookmarkStart w:id="72" w:name="bookmark47"/>
      <w:bookmarkEnd w:id="71"/>
      <w:bookmarkEnd w:id="72"/>
      <w:r>
        <w:t>Организация оказания высокотехнологичной медицинской помощи населению.</w:t>
      </w:r>
    </w:p>
    <w:p w:rsidR="000A5D75" w:rsidRDefault="000A5D75" w:rsidP="000A5D75">
      <w:pPr>
        <w:pStyle w:val="1"/>
        <w:tabs>
          <w:tab w:val="left" w:pos="1322"/>
        </w:tabs>
        <w:spacing w:line="240" w:lineRule="auto"/>
        <w:ind w:left="800" w:firstLine="0"/>
        <w:jc w:val="both"/>
      </w:pPr>
    </w:p>
    <w:p w:rsidR="009C7B4C" w:rsidRDefault="009C7B4C" w:rsidP="007D2F57">
      <w:pPr>
        <w:pStyle w:val="1"/>
        <w:spacing w:line="257" w:lineRule="auto"/>
        <w:ind w:firstLine="700"/>
        <w:jc w:val="both"/>
        <w:rPr>
          <w:b/>
        </w:rPr>
      </w:pPr>
      <w:bookmarkStart w:id="73" w:name="bookmark48"/>
      <w:bookmarkEnd w:id="73"/>
      <w:r w:rsidRPr="009C7B4C">
        <w:rPr>
          <w:b/>
        </w:rPr>
        <w:t>Перечень вопросов по сан</w:t>
      </w:r>
      <w:r w:rsidR="007D2F57">
        <w:rPr>
          <w:b/>
        </w:rPr>
        <w:t xml:space="preserve">итарно -  противоэпидемическому  </w:t>
      </w:r>
      <w:r w:rsidRPr="009C7B4C">
        <w:rPr>
          <w:b/>
        </w:rPr>
        <w:t>режиму для среднего медицинского персонала</w:t>
      </w:r>
      <w:r w:rsidR="007D2F57">
        <w:rPr>
          <w:b/>
        </w:rPr>
        <w:t>.</w:t>
      </w:r>
    </w:p>
    <w:p w:rsidR="009C7B4C" w:rsidRPr="009C7B4C" w:rsidRDefault="009C7B4C" w:rsidP="009C7B4C">
      <w:pPr>
        <w:pStyle w:val="1"/>
        <w:spacing w:line="257" w:lineRule="auto"/>
        <w:ind w:firstLine="700"/>
        <w:jc w:val="both"/>
        <w:rPr>
          <w:b/>
        </w:rPr>
      </w:pP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Санитарно-эпидемиологические требования к внутренней отделке помещений организаций здравоохранения, в том числе с особым режимом (операционные, процедурные, перевязочные и др.), мебели и оборудованию.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Учет аварийных ситуаций с биологическим материалом. Тактика действий медицинского персонала после регистрации аварийной ситуации.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Дезинфекция в организации здравоохранения: виды и режимы, условия проведения, факторы, влияющие на качество дезинфекции. 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Предстерилизационная очистка изделий медицинского назначения. Контроль проведения и учет результатов.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Стерилизация в организации здравоохранения: методы, режимы. Виды и методы контроля стерилизации.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Упаковочный материал: виды и сроки сохранения стерильности. Учетно-отчетная документация при проведении дезинфекционно-стерилизационных мероприятий.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Средства индивидуальной защиты работников организации здравоохранения: виды и требования к использованию. Виды противоэпидемических костюмов используемых при проведении противоэпидемических мероприятий в </w:t>
      </w:r>
      <w:r w:rsidRPr="009C7B4C">
        <w:lastRenderedPageBreak/>
        <w:t>отношении пациента с инфекционным заболеванием, имеющим международное значение.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Перчатки: стерильные и нестерильные, их применение на практике.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Санитарная одежда. Виды и требования к санитарной одежде. Хранение, резерв, смена санитарной одежды.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Бельевой режим. Система и условия сбора и хранения чистого и грязного белья.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Виды уборок. Требования к уборочному инвентарю. Методы и средства для обеззараживания воздушной среды и поверхностей в помещениях.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Текущие уборки, кратность проведения и методы в зависимости от назначения помещений.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Генеральные уборки, кратность проведения и методы в зависимости от назначения помещений.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Основные правила обращения с медицинскими отходами в организации здравоохранения: сбор, обеззараживание и временное хранение медицинских отходов.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Требования к гигиене рук медицинских работников. Гигиеническое мытье рук.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Гигиеническая и хирургическая антисептики рук: тактика проведения, отличия.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Противоэпидемические мероприятий при выявлении пациента с подозрением на инфекционное заболевание (чума).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Противоэпидемические мероприятий при выявлении пациента с подозрением на инфекционное заболевание (холера). 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Противоэпидемические мероприятий при подъеме заболеваемости инфекцией </w:t>
      </w:r>
      <w:r w:rsidRPr="000A5D75">
        <w:t>COVID</w:t>
      </w:r>
      <w:r w:rsidRPr="009C7B4C">
        <w:t>-19.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Сведения о профилактических прививках каких инфекционных заболеваний должны быть у работников отделений? Сроки и условия их проведения. 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Парентеральные вирусные гепатиты. Меры профилактики в учреждении. Группы риска и кодирование при обследовании на парентеральные вирусные гепатиты.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 xml:space="preserve">Санитарно-эпидемиологические мероприятия в операционной, процедурном и перевязочном кабинетах, направленные на снижение риска возникновения инфекций, связанных с оказанием медицинской помощи. 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Санитарно-эпидемиологические мероприятия при проведении инъекций и забора крови из вены, направленные на снижение риска инфекций, связанных с оказанием медицинской помощи.</w:t>
      </w:r>
    </w:p>
    <w:p w:rsidR="009C7B4C" w:rsidRPr="009C7B4C" w:rsidRDefault="009C7B4C" w:rsidP="000A5D75">
      <w:pPr>
        <w:pStyle w:val="1"/>
        <w:numPr>
          <w:ilvl w:val="0"/>
          <w:numId w:val="1"/>
        </w:numPr>
        <w:tabs>
          <w:tab w:val="left" w:pos="1322"/>
        </w:tabs>
        <w:spacing w:line="240" w:lineRule="auto"/>
        <w:ind w:firstLine="800"/>
        <w:jc w:val="both"/>
      </w:pPr>
      <w:r w:rsidRPr="009C7B4C">
        <w:t>Основные санитарно-противоэпидемические мероприятия при выявлении в структурном подразделении пациента с инфекционным заболеванием (с аэрозольным или фекально-оральным механизмами передачи).</w:t>
      </w:r>
    </w:p>
    <w:p w:rsidR="00F70C6E" w:rsidRDefault="00F068A4" w:rsidP="000A5D75">
      <w:pPr>
        <w:pStyle w:val="1"/>
        <w:tabs>
          <w:tab w:val="left" w:pos="1322"/>
        </w:tabs>
        <w:spacing w:line="240" w:lineRule="auto"/>
        <w:ind w:firstLine="0"/>
        <w:jc w:val="both"/>
      </w:pPr>
      <w:bookmarkStart w:id="74" w:name="_GoBack"/>
      <w:bookmarkEnd w:id="74"/>
      <w:r>
        <w:t xml:space="preserve"> </w:t>
      </w:r>
    </w:p>
    <w:sectPr w:rsidR="00F70C6E">
      <w:pgSz w:w="11900" w:h="16840"/>
      <w:pgMar w:top="1182" w:right="591" w:bottom="1177" w:left="1737" w:header="754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A7" w:rsidRDefault="00525DA7">
      <w:r>
        <w:separator/>
      </w:r>
    </w:p>
  </w:endnote>
  <w:endnote w:type="continuationSeparator" w:id="0">
    <w:p w:rsidR="00525DA7" w:rsidRDefault="005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A7" w:rsidRDefault="00525DA7"/>
  </w:footnote>
  <w:footnote w:type="continuationSeparator" w:id="0">
    <w:p w:rsidR="00525DA7" w:rsidRDefault="00525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70C"/>
    <w:multiLevelType w:val="multilevel"/>
    <w:tmpl w:val="945C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E7D9B"/>
    <w:multiLevelType w:val="hybridMultilevel"/>
    <w:tmpl w:val="ED82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80C"/>
    <w:multiLevelType w:val="hybridMultilevel"/>
    <w:tmpl w:val="8D72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6B47"/>
    <w:multiLevelType w:val="hybridMultilevel"/>
    <w:tmpl w:val="BC3E292C"/>
    <w:lvl w:ilvl="0" w:tplc="004A4E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EF72A16"/>
    <w:multiLevelType w:val="multilevel"/>
    <w:tmpl w:val="A3B2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6F2F37"/>
    <w:multiLevelType w:val="hybridMultilevel"/>
    <w:tmpl w:val="8838664C"/>
    <w:lvl w:ilvl="0" w:tplc="577CA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943CD0"/>
    <w:multiLevelType w:val="multilevel"/>
    <w:tmpl w:val="5F84EA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F75B08"/>
    <w:multiLevelType w:val="multilevel"/>
    <w:tmpl w:val="1938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ED29E5"/>
    <w:multiLevelType w:val="hybridMultilevel"/>
    <w:tmpl w:val="C0FC2EAA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6E"/>
    <w:rsid w:val="000349F4"/>
    <w:rsid w:val="000A5D75"/>
    <w:rsid w:val="001035CD"/>
    <w:rsid w:val="00145784"/>
    <w:rsid w:val="0036245A"/>
    <w:rsid w:val="003B2960"/>
    <w:rsid w:val="004B2C1F"/>
    <w:rsid w:val="00525DA7"/>
    <w:rsid w:val="00683DD7"/>
    <w:rsid w:val="006D09F7"/>
    <w:rsid w:val="006E0DDB"/>
    <w:rsid w:val="00747E80"/>
    <w:rsid w:val="00777F70"/>
    <w:rsid w:val="007D2F57"/>
    <w:rsid w:val="008541FF"/>
    <w:rsid w:val="009C7B4C"/>
    <w:rsid w:val="00AD4C22"/>
    <w:rsid w:val="00B000D0"/>
    <w:rsid w:val="00E7705A"/>
    <w:rsid w:val="00EB57B9"/>
    <w:rsid w:val="00F068A4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80E0"/>
  <w15:docId w15:val="{2B998D4E-134F-469A-86E2-C7B8D0E4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9D9D9D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20">
    <w:name w:val="Основной текст (2)"/>
    <w:basedOn w:val="a"/>
    <w:link w:val="2"/>
    <w:pPr>
      <w:ind w:right="1340"/>
      <w:jc w:val="right"/>
    </w:pPr>
    <w:rPr>
      <w:rFonts w:ascii="Times New Roman" w:eastAsia="Times New Roman" w:hAnsi="Times New Roman" w:cs="Times New Roman"/>
      <w:b/>
      <w:bCs/>
      <w:i/>
      <w:iCs/>
      <w:color w:val="9D9D9D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62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5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D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Каленчак Екатерина Викторовна</cp:lastModifiedBy>
  <cp:revision>12</cp:revision>
  <cp:lastPrinted>2022-04-04T13:08:00Z</cp:lastPrinted>
  <dcterms:created xsi:type="dcterms:W3CDTF">2022-03-17T07:04:00Z</dcterms:created>
  <dcterms:modified xsi:type="dcterms:W3CDTF">2022-04-06T13:16:00Z</dcterms:modified>
</cp:coreProperties>
</file>